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261F" w:rsidRDefault="00395978">
      <w:pPr>
        <w:rPr>
          <w:b/>
          <w:u w:val="single"/>
        </w:rPr>
      </w:pPr>
      <w:r>
        <w:rPr>
          <w:b/>
          <w:u w:val="single"/>
        </w:rPr>
        <w:t>PsyD in Clinical Psychology</w:t>
      </w:r>
    </w:p>
    <w:p w14:paraId="00000002" w14:textId="77777777" w:rsidR="00EE261F" w:rsidRDefault="00395978">
      <w:pPr>
        <w:numPr>
          <w:ilvl w:val="0"/>
          <w:numId w:val="1"/>
        </w:numPr>
        <w:spacing w:before="200" w:line="240" w:lineRule="auto"/>
        <w:ind w:left="1020"/>
        <w:rPr>
          <w:color w:val="212121"/>
        </w:rPr>
      </w:pPr>
      <w:r>
        <w:rPr>
          <w:color w:val="212121"/>
        </w:rPr>
        <w:t>PLO 1 : Competency in applying psychological theory and scientific knowledge to an understanding of psychological dysfunction, maladaptation, and psychopathology;</w:t>
      </w:r>
    </w:p>
    <w:p w14:paraId="00000003" w14:textId="77777777" w:rsidR="00EE261F" w:rsidRDefault="00395978">
      <w:pPr>
        <w:numPr>
          <w:ilvl w:val="0"/>
          <w:numId w:val="1"/>
        </w:numPr>
        <w:spacing w:line="240" w:lineRule="auto"/>
        <w:ind w:left="1020"/>
        <w:rPr>
          <w:color w:val="212121"/>
        </w:rPr>
      </w:pPr>
      <w:r>
        <w:rPr>
          <w:color w:val="212121"/>
        </w:rPr>
        <w:t>PLO 2 : Competency in psychological assessment and diagnosis;</w:t>
      </w:r>
    </w:p>
    <w:p w14:paraId="00000004" w14:textId="77777777" w:rsidR="00EE261F" w:rsidRDefault="00395978">
      <w:pPr>
        <w:numPr>
          <w:ilvl w:val="0"/>
          <w:numId w:val="1"/>
        </w:numPr>
        <w:spacing w:line="240" w:lineRule="auto"/>
        <w:ind w:left="1020"/>
        <w:rPr>
          <w:color w:val="212121"/>
        </w:rPr>
      </w:pPr>
      <w:r>
        <w:rPr>
          <w:color w:val="212121"/>
        </w:rPr>
        <w:t>PLO 3 : Competency in psycholog</w:t>
      </w:r>
      <w:r>
        <w:rPr>
          <w:color w:val="212121"/>
        </w:rPr>
        <w:t>ical intervention, treatment, and consultation;</w:t>
      </w:r>
    </w:p>
    <w:p w14:paraId="00000005" w14:textId="77777777" w:rsidR="00EE261F" w:rsidRDefault="00395978">
      <w:pPr>
        <w:numPr>
          <w:ilvl w:val="0"/>
          <w:numId w:val="1"/>
        </w:numPr>
        <w:spacing w:line="240" w:lineRule="auto"/>
        <w:ind w:left="1020"/>
        <w:rPr>
          <w:color w:val="212121"/>
        </w:rPr>
      </w:pPr>
      <w:r>
        <w:rPr>
          <w:color w:val="212121"/>
        </w:rPr>
        <w:t>PLO 4 : Competency in research methods appropriate to the applied clinical practitioner; and</w:t>
      </w:r>
    </w:p>
    <w:p w14:paraId="00000006" w14:textId="77777777" w:rsidR="00EE261F" w:rsidRDefault="00395978">
      <w:pPr>
        <w:numPr>
          <w:ilvl w:val="0"/>
          <w:numId w:val="1"/>
        </w:numPr>
        <w:spacing w:line="240" w:lineRule="auto"/>
        <w:ind w:left="1020"/>
        <w:rPr>
          <w:color w:val="212121"/>
        </w:rPr>
      </w:pPr>
      <w:r>
        <w:rPr>
          <w:color w:val="212121"/>
        </w:rPr>
        <w:t>PLO 5 : Competency in understanding and applying ethics, law, and professional standards to conduct.</w:t>
      </w:r>
    </w:p>
    <w:p w14:paraId="00000007" w14:textId="77777777" w:rsidR="00EE261F" w:rsidRDefault="00EE261F"/>
    <w:sectPr w:rsidR="00EE26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1C7"/>
    <w:multiLevelType w:val="multilevel"/>
    <w:tmpl w:val="DC2E49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1F"/>
    <w:rsid w:val="00395978"/>
    <w:rsid w:val="00E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751736-1A1B-4246-BAFC-BE5ACD5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2020-10-09T23:43:00Z</dcterms:created>
  <dcterms:modified xsi:type="dcterms:W3CDTF">2020-10-09T23:43:00Z</dcterms:modified>
</cp:coreProperties>
</file>